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DA1790" w:rsidRPr="00CF195E" w:rsidRDefault="00DA1790" w:rsidP="00DA1790">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allowOverlap="1" wp14:anchorId="5E53AE53" wp14:editId="4B539AA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451BA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 xml:space="preserve">3GPP TSG RAN WG1 </w:t>
      </w:r>
      <w:r w:rsidRPr="003F7368">
        <w:rPr>
          <w:b/>
          <w:kern w:val="2"/>
          <w:lang w:eastAsia="zh-CN"/>
        </w:rPr>
        <w:t>Meeting</w:t>
      </w:r>
      <w:r>
        <w:rPr>
          <w:rFonts w:hint="eastAsia"/>
          <w:b/>
          <w:kern w:val="2"/>
          <w:lang w:eastAsia="zh-CN"/>
        </w:rPr>
        <w:t xml:space="preserve"> #92</w:t>
      </w:r>
      <w:r w:rsidR="00A7196D">
        <w:rPr>
          <w:b/>
          <w:kern w:val="2"/>
          <w:lang w:eastAsia="zh-CN"/>
        </w:rPr>
        <w:t>bis</w:t>
      </w:r>
      <w:r w:rsidRPr="00CF195E">
        <w:rPr>
          <w:b/>
          <w:kern w:val="2"/>
          <w:lang w:eastAsia="zh-CN"/>
        </w:rPr>
        <w:tab/>
      </w:r>
      <w:r w:rsidR="00A7196D" w:rsidRPr="001A651C">
        <w:rPr>
          <w:b/>
          <w:kern w:val="2"/>
          <w:lang w:eastAsia="zh-CN"/>
        </w:rPr>
        <w:t>R1</w:t>
      </w:r>
      <w:r w:rsidR="00A7196D">
        <w:rPr>
          <w:b/>
          <w:kern w:val="2"/>
          <w:lang w:eastAsia="zh-CN"/>
        </w:rPr>
        <w:t>-1805084</w:t>
      </w:r>
    </w:p>
    <w:p w:rsidR="00DA1790" w:rsidRPr="003F7368" w:rsidRDefault="00A7196D" w:rsidP="00DA1790">
      <w:pPr>
        <w:jc w:val="left"/>
        <w:rPr>
          <w:b/>
          <w:kern w:val="2"/>
          <w:lang w:eastAsia="zh-CN"/>
        </w:rPr>
      </w:pPr>
      <w:r w:rsidRPr="00A7196D">
        <w:rPr>
          <w:b/>
          <w:kern w:val="2"/>
          <w:lang w:eastAsia="zh-CN"/>
        </w:rPr>
        <w:t>Sanya, China, April 16th – 20th, 2018</w:t>
      </w:r>
    </w:p>
    <w:p w:rsidR="00DA1790" w:rsidRPr="003F7368" w:rsidRDefault="00DA1790" w:rsidP="00DA1790">
      <w:pPr>
        <w:pBdr>
          <w:top w:val="single" w:sz="4" w:space="1" w:color="auto"/>
        </w:pBdr>
        <w:spacing w:after="0"/>
        <w:jc w:val="left"/>
        <w:rPr>
          <w:b/>
          <w:kern w:val="2"/>
          <w:sz w:val="16"/>
          <w:szCs w:val="16"/>
          <w:lang w:eastAsia="zh-CN"/>
        </w:rPr>
      </w:pPr>
    </w:p>
    <w:p w:rsidR="00DA1790" w:rsidRPr="00EB62E6" w:rsidRDefault="00DA1790" w:rsidP="00DA1790">
      <w:pPr>
        <w:spacing w:after="60"/>
        <w:ind w:left="1555" w:hanging="1555"/>
        <w:jc w:val="left"/>
        <w:rPr>
          <w:b/>
          <w:kern w:val="2"/>
          <w:lang w:eastAsia="zh-CN"/>
        </w:rPr>
      </w:pPr>
      <w:r w:rsidRPr="00EB62E6">
        <w:rPr>
          <w:b/>
          <w:kern w:val="2"/>
          <w:lang w:eastAsia="zh-CN"/>
        </w:rPr>
        <w:t>Agenda Item:</w:t>
      </w:r>
      <w:r w:rsidRPr="00EB62E6">
        <w:rPr>
          <w:b/>
          <w:kern w:val="2"/>
          <w:lang w:eastAsia="zh-CN"/>
        </w:rPr>
        <w:tab/>
      </w:r>
      <w:r w:rsidR="00A7196D">
        <w:rPr>
          <w:b/>
          <w:kern w:val="2"/>
          <w:lang w:eastAsia="zh-CN"/>
        </w:rPr>
        <w:t>7.3.1</w:t>
      </w:r>
    </w:p>
    <w:p w:rsidR="00DA1790" w:rsidRPr="00CF195E" w:rsidRDefault="00DA1790" w:rsidP="00DA1790">
      <w:pPr>
        <w:spacing w:after="60"/>
        <w:ind w:left="1555" w:hanging="1555"/>
        <w:jc w:val="left"/>
        <w:rPr>
          <w:b/>
          <w:kern w:val="2"/>
          <w:lang w:eastAsia="zh-CN"/>
        </w:rPr>
      </w:pPr>
      <w:r w:rsidRPr="00CF195E">
        <w:rPr>
          <w:b/>
          <w:kern w:val="2"/>
          <w:lang w:eastAsia="zh-CN"/>
        </w:rPr>
        <w:t>Source:</w:t>
      </w:r>
      <w:r w:rsidRPr="00CF195E">
        <w:rPr>
          <w:b/>
          <w:kern w:val="2"/>
          <w:lang w:eastAsia="zh-CN"/>
        </w:rPr>
        <w:tab/>
      </w:r>
      <w:r>
        <w:rPr>
          <w:b/>
          <w:kern w:val="2"/>
          <w:lang w:eastAsia="zh-CN"/>
        </w:rPr>
        <w:t>ESA</w:t>
      </w:r>
    </w:p>
    <w:p w:rsidR="00DA1790" w:rsidRPr="00CF195E" w:rsidRDefault="00DA1790" w:rsidP="00DA1790">
      <w:pPr>
        <w:spacing w:after="60"/>
        <w:ind w:left="1555" w:hanging="1555"/>
        <w:jc w:val="left"/>
        <w:rPr>
          <w:b/>
          <w:kern w:val="2"/>
          <w:lang w:eastAsia="zh-CN"/>
        </w:rPr>
      </w:pPr>
      <w:r w:rsidRPr="00CF195E">
        <w:rPr>
          <w:b/>
          <w:kern w:val="2"/>
          <w:lang w:eastAsia="zh-CN"/>
        </w:rPr>
        <w:t>Title:</w:t>
      </w:r>
      <w:r w:rsidRPr="00CF195E">
        <w:rPr>
          <w:b/>
          <w:kern w:val="2"/>
          <w:lang w:eastAsia="zh-CN"/>
        </w:rPr>
        <w:tab/>
      </w:r>
      <w:r w:rsidR="00A7196D">
        <w:rPr>
          <w:b/>
          <w:kern w:val="2"/>
          <w:lang w:eastAsia="zh-CN"/>
        </w:rPr>
        <w:t>Tropospheric scintillations for NTN channel</w:t>
      </w:r>
    </w:p>
    <w:p w:rsidR="00DA1790" w:rsidRPr="00CF195E" w:rsidRDefault="00DA1790" w:rsidP="00DA1790">
      <w:pPr>
        <w:spacing w:after="60"/>
        <w:ind w:left="1555" w:hanging="1555"/>
        <w:jc w:val="left"/>
        <w:rPr>
          <w:b/>
          <w:kern w:val="2"/>
          <w:lang w:eastAsia="zh-CN"/>
        </w:rPr>
      </w:pPr>
      <w:r w:rsidRPr="00CF195E">
        <w:rPr>
          <w:b/>
          <w:kern w:val="2"/>
          <w:lang w:eastAsia="zh-CN"/>
        </w:rPr>
        <w:t>Document for:</w:t>
      </w:r>
      <w:r w:rsidRPr="00CF195E">
        <w:rPr>
          <w:b/>
          <w:kern w:val="2"/>
          <w:lang w:eastAsia="zh-CN"/>
        </w:rPr>
        <w:tab/>
      </w:r>
      <w:r>
        <w:rPr>
          <w:b/>
          <w:kern w:val="2"/>
          <w:lang w:eastAsia="zh-CN"/>
        </w:rPr>
        <w:t>Discussion</w:t>
      </w:r>
      <w:r w:rsidR="00A7196D">
        <w:rPr>
          <w:b/>
          <w:kern w:val="2"/>
          <w:lang w:eastAsia="zh-CN"/>
        </w:rPr>
        <w:t>/Decision</w:t>
      </w:r>
    </w:p>
    <w:p w:rsidR="00DA1790" w:rsidRPr="00CF195E" w:rsidRDefault="00DA1790" w:rsidP="00DA1790">
      <w:pPr>
        <w:pBdr>
          <w:bottom w:val="single" w:sz="4" w:space="1" w:color="auto"/>
        </w:pBdr>
        <w:spacing w:after="0"/>
        <w:jc w:val="left"/>
        <w:rPr>
          <w:b/>
          <w:kern w:val="2"/>
          <w:sz w:val="16"/>
          <w:szCs w:val="16"/>
          <w:lang w:eastAsia="zh-CN"/>
        </w:rPr>
      </w:pPr>
    </w:p>
    <w:p w:rsidR="00DA1790" w:rsidRDefault="00DA1790" w:rsidP="00DA1790">
      <w:pPr>
        <w:pStyle w:val="Heading1"/>
      </w:pPr>
      <w:bookmarkStart w:id="1" w:name="_Ref124589705"/>
      <w:bookmarkStart w:id="2" w:name="_Ref129681862"/>
      <w:bookmarkStart w:id="3" w:name="_Ref129681832"/>
      <w:r w:rsidRPr="00CF195E">
        <w:t>Introduction</w:t>
      </w:r>
      <w:bookmarkEnd w:id="1"/>
      <w:bookmarkEnd w:id="2"/>
    </w:p>
    <w:p w:rsidR="00DA1790" w:rsidRPr="004F6E8E" w:rsidRDefault="00DA1790" w:rsidP="00BC4231">
      <w:pPr>
        <w:snapToGrid/>
        <w:spacing w:after="0"/>
      </w:pPr>
      <w:r>
        <w:t xml:space="preserve">Tropospheric scintillation is a phenomenon that causes rapid amplitude and phase fluctuations of signals from satellite communication systems. Unlike, ionospheric scintillation, the effect of tropospheric scintillation increases with the carrier frequency of the signal being specially significant above 10GHz. In this case, the signal fluctuations are caused by </w:t>
      </w:r>
      <w:r w:rsidRPr="00B25E71">
        <w:t>sudden change</w:t>
      </w:r>
      <w:r>
        <w:t>s</w:t>
      </w:r>
      <w:r w:rsidRPr="00B25E71">
        <w:t xml:space="preserve"> in</w:t>
      </w:r>
      <w:r>
        <w:t xml:space="preserve"> the</w:t>
      </w:r>
      <w:r w:rsidRPr="00B25E71">
        <w:t xml:space="preserve"> refractive index due to the variation of temperature, water vapor content, and barometric pressure.</w:t>
      </w:r>
      <w:r>
        <w:t xml:space="preserve"> Besides increasing with the carrier frequency, the effects of scintillation also increase with </w:t>
      </w:r>
      <w:r w:rsidRPr="004F6E8E">
        <w:t>low elevation angles, due to the longer path of the signal, and wide beam width receiving antennas. Measured data shows the monthly-averaged r.m.s. fluctuations are well-correlated with the wet term of the radio refractivity, N</w:t>
      </w:r>
      <w:r w:rsidRPr="004F6E8E">
        <w:rPr>
          <w:vertAlign w:val="subscript"/>
        </w:rPr>
        <w:t>wet</w:t>
      </w:r>
      <w:r w:rsidRPr="004F6E8E">
        <w:t xml:space="preserve">, </w:t>
      </w:r>
      <w:r w:rsidR="005E0C14">
        <w:t>at the surface of Earth.</w:t>
      </w:r>
      <w:r w:rsidRPr="004F6E8E">
        <w:t>.</w:t>
      </w:r>
      <w:r w:rsidR="005E0C14">
        <w:t xml:space="preserve"> N</w:t>
      </w:r>
      <w:r w:rsidR="005E0C14" w:rsidRPr="00BC4231">
        <w:rPr>
          <w:vertAlign w:val="subscript"/>
        </w:rPr>
        <w:t>wet</w:t>
      </w:r>
      <w:r w:rsidR="005E0C14">
        <w:t xml:space="preserve"> depends on water vapor pressure and air temperature and can be derived either by local meteorological measurements or from global digital maps provided by ITU-R (see [2]). </w:t>
      </w:r>
    </w:p>
    <w:p w:rsidR="00DA1790" w:rsidRDefault="00DA1790" w:rsidP="00DA1790">
      <w:pPr>
        <w:pStyle w:val="Heading1"/>
      </w:pPr>
      <w:r>
        <w:t>Method for fading prediction</w:t>
      </w:r>
    </w:p>
    <w:p w:rsidR="004F6E8E" w:rsidRPr="004F6E8E" w:rsidRDefault="004F6E8E" w:rsidP="004F6E8E">
      <w:r>
        <w:t>The ITU</w:t>
      </w:r>
      <w:r w:rsidR="00C640F4">
        <w:t>-R</w:t>
      </w:r>
      <w:r>
        <w:t xml:space="preserve"> recommendation algorithm for fading prediction </w:t>
      </w:r>
      <w:r>
        <w:fldChar w:fldCharType="begin"/>
      </w:r>
      <w:r>
        <w:instrText xml:space="preserve"> REF _Ref510721134 \n \h </w:instrText>
      </w:r>
      <w:r>
        <w:fldChar w:fldCharType="separate"/>
      </w:r>
      <w:r>
        <w:t>[1]</w:t>
      </w:r>
      <w:r>
        <w:fldChar w:fldCharType="end"/>
      </w:r>
      <w:r>
        <w:t xml:space="preserve"> </w:t>
      </w:r>
      <w:r w:rsidR="00C640F4">
        <w:t>permits</w:t>
      </w:r>
      <w:r>
        <w:t xml:space="preserve"> an accurate prediction of the </w:t>
      </w:r>
      <w:r w:rsidR="00C640F4">
        <w:t>amplitude</w:t>
      </w:r>
      <w:r>
        <w:t xml:space="preserve">.  This method consists in three </w:t>
      </w:r>
      <w:r w:rsidRPr="004F6E8E">
        <w:t xml:space="preserve">parts: </w:t>
      </w:r>
    </w:p>
    <w:p w:rsidR="004F6E8E" w:rsidRPr="004F6E8E" w:rsidRDefault="004F6E8E" w:rsidP="004F6E8E">
      <w:r w:rsidRPr="004F6E8E">
        <w:t xml:space="preserve">1) Prediction of the amplitude scintillation fading at free-space elevation angles </w:t>
      </w:r>
      <w:r>
        <w:t>≥</w:t>
      </w:r>
      <w:r w:rsidRPr="004F6E8E">
        <w:t xml:space="preserve"> 5° (</w:t>
      </w:r>
      <w:r>
        <w:t>section</w:t>
      </w:r>
      <w:r w:rsidRPr="004F6E8E">
        <w:t xml:space="preserve"> 2.4.1</w:t>
      </w:r>
      <w:r>
        <w:t xml:space="preserve"> in </w:t>
      </w:r>
      <w:r>
        <w:fldChar w:fldCharType="begin"/>
      </w:r>
      <w:r>
        <w:instrText xml:space="preserve"> REF _Ref510721134 \n \h </w:instrText>
      </w:r>
      <w:r>
        <w:fldChar w:fldCharType="separate"/>
      </w:r>
      <w:r>
        <w:t>[1]</w:t>
      </w:r>
      <w:r>
        <w:fldChar w:fldCharType="end"/>
      </w:r>
      <w:r w:rsidRPr="004F6E8E">
        <w:t xml:space="preserve">). </w:t>
      </w:r>
    </w:p>
    <w:p w:rsidR="004F6E8E" w:rsidRPr="004F6E8E" w:rsidRDefault="004F6E8E" w:rsidP="004F6E8E">
      <w:r w:rsidRPr="004F6E8E">
        <w:t>2) Prediction of the amplitude scintilla</w:t>
      </w:r>
      <w:r>
        <w:t xml:space="preserve">tion fading for fades </w:t>
      </w:r>
      <w:r w:rsidR="00EA6E63">
        <w:t xml:space="preserve">≥ </w:t>
      </w:r>
      <w:r>
        <w:t>25 dB (section</w:t>
      </w:r>
      <w:r w:rsidRPr="004F6E8E">
        <w:t xml:space="preserve"> 2.4.2</w:t>
      </w:r>
      <w:r>
        <w:t xml:space="preserve"> in </w:t>
      </w:r>
      <w:r>
        <w:fldChar w:fldCharType="begin"/>
      </w:r>
      <w:r>
        <w:instrText xml:space="preserve"> REF _Ref510721134 \n \h </w:instrText>
      </w:r>
      <w:r>
        <w:fldChar w:fldCharType="separate"/>
      </w:r>
      <w:r>
        <w:t>[1]</w:t>
      </w:r>
      <w:r>
        <w:fldChar w:fldCharType="end"/>
      </w:r>
      <w:r w:rsidRPr="004F6E8E">
        <w:t xml:space="preserve">). </w:t>
      </w:r>
    </w:p>
    <w:p w:rsidR="004F6E8E" w:rsidRDefault="004F6E8E" w:rsidP="004F6E8E">
      <w:r w:rsidRPr="004F6E8E">
        <w:t>3) Prediction of the amplitude scintillation in the transition region between the above two distributions</w:t>
      </w:r>
      <w:r w:rsidR="00EA6E63">
        <w:t xml:space="preserve"> </w:t>
      </w:r>
      <w:r w:rsidRPr="004F6E8E">
        <w:t>(</w:t>
      </w:r>
      <w:r>
        <w:t>section</w:t>
      </w:r>
      <w:r w:rsidRPr="004F6E8E">
        <w:t xml:space="preserve"> 2.4.3</w:t>
      </w:r>
      <w:r>
        <w:t xml:space="preserve"> in </w:t>
      </w:r>
      <w:r>
        <w:fldChar w:fldCharType="begin"/>
      </w:r>
      <w:r>
        <w:instrText xml:space="preserve"> REF _Ref510721134 \n \h </w:instrText>
      </w:r>
      <w:r>
        <w:fldChar w:fldCharType="separate"/>
      </w:r>
      <w:r>
        <w:t>[1]</w:t>
      </w:r>
      <w:r>
        <w:fldChar w:fldCharType="end"/>
      </w:r>
      <w:r w:rsidRPr="004F6E8E">
        <w:t>).</w:t>
      </w:r>
    </w:p>
    <w:p w:rsidR="00EA6E63" w:rsidRDefault="00EA6E63" w:rsidP="004F6E8E">
      <w:r w:rsidRPr="00EA6E63">
        <w:t xml:space="preserve">An illustrative example of the three parts of the prediction method is shown in Fig. 2. Note that the prediction method in the transition region described in </w:t>
      </w:r>
      <w:r>
        <w:t>section</w:t>
      </w:r>
      <w:r w:rsidRPr="00EA6E63">
        <w:t xml:space="preserve"> 2.4.3 is tangent to the distribution described in </w:t>
      </w:r>
      <w:r>
        <w:t>section</w:t>
      </w:r>
      <w:r w:rsidRPr="00EA6E63">
        <w:t xml:space="preserve"> 2.4.1 at a free-space elevation angle of 5° and tangent to the distribution described in </w:t>
      </w:r>
      <w:r>
        <w:t>section</w:t>
      </w:r>
      <w:r w:rsidRPr="00EA6E63">
        <w:t xml:space="preserve"> 2.4.2 at a scintillation fading depth of 25 dB.</w:t>
      </w:r>
    </w:p>
    <w:p w:rsidR="00EA6E63" w:rsidRDefault="00EA6E63" w:rsidP="00EA6E63">
      <w:pPr>
        <w:keepNext/>
        <w:jc w:val="center"/>
      </w:pPr>
      <w:r>
        <w:rPr>
          <w:noProof/>
        </w:rPr>
        <w:drawing>
          <wp:inline distT="0" distB="0" distL="0" distR="0" wp14:anchorId="1452915E" wp14:editId="3E9F7F3E">
            <wp:extent cx="3787254" cy="2742118"/>
            <wp:effectExtent l="0" t="0" r="381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791010" cy="2744838"/>
                    </a:xfrm>
                    <a:prstGeom prst="rect">
                      <a:avLst/>
                    </a:prstGeom>
                  </pic:spPr>
                </pic:pic>
              </a:graphicData>
            </a:graphic>
          </wp:inline>
        </w:drawing>
      </w:r>
    </w:p>
    <w:p w:rsidR="00EA6E63" w:rsidRDefault="00EA6E63" w:rsidP="00EA6E63">
      <w:pPr>
        <w:pStyle w:val="Caption"/>
      </w:pPr>
      <w:r>
        <w:t xml:space="preserve">Figure </w:t>
      </w:r>
      <w:r w:rsidR="00A407B1">
        <w:fldChar w:fldCharType="begin"/>
      </w:r>
      <w:r w:rsidR="00A407B1">
        <w:instrText xml:space="preserve"> SEQ Figure \* ARABIC </w:instrText>
      </w:r>
      <w:r w:rsidR="00A407B1">
        <w:fldChar w:fldCharType="separate"/>
      </w:r>
      <w:r>
        <w:rPr>
          <w:noProof/>
        </w:rPr>
        <w:t>1</w:t>
      </w:r>
      <w:r w:rsidR="00A407B1">
        <w:rPr>
          <w:noProof/>
        </w:rPr>
        <w:fldChar w:fldCharType="end"/>
      </w:r>
      <w:r>
        <w:t xml:space="preserve">: Example of the prediction method proposed in </w:t>
      </w:r>
      <w:r>
        <w:fldChar w:fldCharType="begin"/>
      </w:r>
      <w:r>
        <w:instrText xml:space="preserve"> REF _Ref510721134 \n \h </w:instrText>
      </w:r>
      <w:r>
        <w:fldChar w:fldCharType="separate"/>
      </w:r>
      <w:r>
        <w:t>[1]</w:t>
      </w:r>
      <w:r>
        <w:fldChar w:fldCharType="end"/>
      </w:r>
    </w:p>
    <w:p w:rsidR="00EA6E63" w:rsidRPr="00EA6E63" w:rsidRDefault="00EA6E63" w:rsidP="00EA6E63">
      <w:r w:rsidRPr="00EA6E63">
        <w:lastRenderedPageBreak/>
        <w:t xml:space="preserve">At very small percentages of time, and similarly for large fade depths (greater than about 10 dB), the fading due to scintillation at very low elevation angles can be significant. The fading is also observed to have a character similar to multipath fading on terrestrial links. Similar to the distribution of fade depths on terrestrial links, the distribution of fade depths for very low angle satellite links also appears correlated with refractivity gradient statistics. The overall fading distribution shows a gradual transition from a scintillation distribution at large exceedance percentages to a multipath fading distribution (with a slope of 10 dB/decade) at small percentages. The prediction methods in </w:t>
      </w:r>
      <w:r>
        <w:t>sections</w:t>
      </w:r>
      <w:r w:rsidRPr="00EA6E63">
        <w:t xml:space="preserve"> 2.4.2 and 2.4.3 for the deep fading and shallow fading portions of the overall distribution, respectively, use the refractivity gradient statistic, </w:t>
      </w:r>
      <w:r w:rsidRPr="00EA6E63">
        <w:rPr>
          <w:i/>
          <w:iCs/>
        </w:rPr>
        <w:t>p</w:t>
      </w:r>
      <w:r w:rsidRPr="000F62DC">
        <w:rPr>
          <w:i/>
          <w:iCs/>
          <w:vertAlign w:val="subscript"/>
        </w:rPr>
        <w:t>L</w:t>
      </w:r>
      <w:r w:rsidRPr="00EA6E63">
        <w:t>, to describe the climatic variations in the distribution.</w:t>
      </w:r>
    </w:p>
    <w:p w:rsidR="00E50801" w:rsidRDefault="00E50801" w:rsidP="00E50801">
      <w:r>
        <w:t>ITU-R SG3 maintains an experimental statistical database for the assessment of model prediction errors (see [3]).</w:t>
      </w:r>
    </w:p>
    <w:p w:rsidR="00E50801" w:rsidRDefault="00E50801" w:rsidP="000F62DC">
      <w:r>
        <w:t>Time series of scintillation can be generated using the channel model provide in [4]</w:t>
      </w:r>
    </w:p>
    <w:p w:rsidR="00E50801" w:rsidRDefault="00E50801" w:rsidP="000F62DC">
      <w:pPr>
        <w:rPr>
          <w:b/>
        </w:rPr>
      </w:pPr>
    </w:p>
    <w:p w:rsidR="000F62DC" w:rsidRDefault="000F62DC" w:rsidP="000F62DC">
      <w:pPr>
        <w:rPr>
          <w:i/>
        </w:rPr>
      </w:pPr>
      <w:r w:rsidRPr="000931EB">
        <w:rPr>
          <w:b/>
        </w:rPr>
        <w:t>Proposal 1</w:t>
      </w:r>
      <w:r w:rsidRPr="000931EB">
        <w:rPr>
          <w:b/>
          <w:i/>
        </w:rPr>
        <w:t xml:space="preserve">: </w:t>
      </w:r>
      <w:r>
        <w:rPr>
          <w:i/>
        </w:rPr>
        <w:t xml:space="preserve">The method proposed in section 2.4 in </w:t>
      </w:r>
      <w:r>
        <w:rPr>
          <w:i/>
        </w:rPr>
        <w:fldChar w:fldCharType="begin"/>
      </w:r>
      <w:r>
        <w:rPr>
          <w:i/>
        </w:rPr>
        <w:instrText xml:space="preserve"> REF _Ref510721134 \n \h </w:instrText>
      </w:r>
      <w:r>
        <w:rPr>
          <w:i/>
        </w:rPr>
      </w:r>
      <w:r>
        <w:rPr>
          <w:i/>
        </w:rPr>
        <w:fldChar w:fldCharType="separate"/>
      </w:r>
      <w:r>
        <w:rPr>
          <w:i/>
        </w:rPr>
        <w:t>[1]</w:t>
      </w:r>
      <w:r>
        <w:rPr>
          <w:i/>
        </w:rPr>
        <w:fldChar w:fldCharType="end"/>
      </w:r>
      <w:r>
        <w:rPr>
          <w:i/>
        </w:rPr>
        <w:t xml:space="preserve"> shall be used for </w:t>
      </w:r>
      <w:r w:rsidRPr="000F62DC">
        <w:rPr>
          <w:i/>
        </w:rPr>
        <w:t xml:space="preserve">predicting the fading due to </w:t>
      </w:r>
      <w:r>
        <w:rPr>
          <w:i/>
        </w:rPr>
        <w:t xml:space="preserve">tropospheric </w:t>
      </w:r>
      <w:r w:rsidRPr="000F62DC">
        <w:rPr>
          <w:i/>
        </w:rPr>
        <w:t>amplitude scintillation</w:t>
      </w:r>
      <w:r>
        <w:rPr>
          <w:i/>
        </w:rPr>
        <w:t>.</w:t>
      </w:r>
    </w:p>
    <w:p w:rsidR="004F6E8E" w:rsidRDefault="00BC4231" w:rsidP="00DA1790">
      <w:pPr>
        <w:rPr>
          <w:i/>
        </w:rPr>
      </w:pPr>
      <w:r>
        <w:rPr>
          <w:b/>
          <w:i/>
        </w:rPr>
        <w:t>Proposal 2</w:t>
      </w:r>
      <w:r w:rsidRPr="00BC4231">
        <w:rPr>
          <w:b/>
          <w:i/>
        </w:rPr>
        <w:t xml:space="preserve">: </w:t>
      </w:r>
      <w:r w:rsidRPr="00BC4231">
        <w:rPr>
          <w:i/>
        </w:rPr>
        <w:t xml:space="preserve">The </w:t>
      </w:r>
      <w:r>
        <w:rPr>
          <w:i/>
        </w:rPr>
        <w:t>generation of tropospheric attenuation</w:t>
      </w:r>
      <w:r w:rsidRPr="00BC4231">
        <w:rPr>
          <w:i/>
        </w:rPr>
        <w:t xml:space="preserve"> </w:t>
      </w:r>
      <w:r>
        <w:rPr>
          <w:i/>
        </w:rPr>
        <w:t xml:space="preserve">time series shall be performed with the model provided in </w:t>
      </w:r>
      <w:r>
        <w:rPr>
          <w:i/>
        </w:rPr>
        <w:fldChar w:fldCharType="begin"/>
      </w:r>
      <w:r>
        <w:rPr>
          <w:i/>
        </w:rPr>
        <w:instrText xml:space="preserve"> REF _Ref510784362 \r \h </w:instrText>
      </w:r>
      <w:r>
        <w:rPr>
          <w:i/>
        </w:rPr>
      </w:r>
      <w:r>
        <w:rPr>
          <w:i/>
        </w:rPr>
        <w:fldChar w:fldCharType="separate"/>
      </w:r>
      <w:r>
        <w:rPr>
          <w:i/>
        </w:rPr>
        <w:t>[4]</w:t>
      </w:r>
      <w:r>
        <w:rPr>
          <w:i/>
        </w:rPr>
        <w:fldChar w:fldCharType="end"/>
      </w:r>
      <w:r w:rsidRPr="00BC4231">
        <w:rPr>
          <w:i/>
        </w:rPr>
        <w:t>.</w:t>
      </w:r>
    </w:p>
    <w:p w:rsidR="00BC4231" w:rsidRPr="00D753CF" w:rsidRDefault="00BC4231" w:rsidP="00DA1790"/>
    <w:p w:rsidR="00DA1790" w:rsidRDefault="00DA1790" w:rsidP="00DA1790">
      <w:pPr>
        <w:pStyle w:val="Heading1"/>
      </w:pPr>
      <w:r>
        <w:t>Conclusions</w:t>
      </w:r>
    </w:p>
    <w:p w:rsidR="00DA1790" w:rsidRDefault="00DA1790" w:rsidP="00DA1790">
      <w:r>
        <w:t xml:space="preserve">In this document, the following proposals have been presented in the context of </w:t>
      </w:r>
      <w:r w:rsidR="000F62DC">
        <w:t>tropospheric</w:t>
      </w:r>
      <w:r>
        <w:t xml:space="preserve"> scintillation:</w:t>
      </w:r>
    </w:p>
    <w:p w:rsidR="000F62DC" w:rsidRDefault="000F62DC" w:rsidP="000F62DC">
      <w:pPr>
        <w:rPr>
          <w:i/>
        </w:rPr>
      </w:pPr>
      <w:r w:rsidRPr="000931EB">
        <w:rPr>
          <w:b/>
        </w:rPr>
        <w:t>Proposal 1</w:t>
      </w:r>
      <w:r w:rsidRPr="000931EB">
        <w:rPr>
          <w:b/>
          <w:i/>
        </w:rPr>
        <w:t xml:space="preserve">: </w:t>
      </w:r>
      <w:r>
        <w:rPr>
          <w:i/>
        </w:rPr>
        <w:t xml:space="preserve">The method proposed in section 2.4 in </w:t>
      </w:r>
      <w:r>
        <w:rPr>
          <w:i/>
        </w:rPr>
        <w:fldChar w:fldCharType="begin"/>
      </w:r>
      <w:r>
        <w:rPr>
          <w:i/>
        </w:rPr>
        <w:instrText xml:space="preserve"> REF _Ref510721134 \n \h </w:instrText>
      </w:r>
      <w:r>
        <w:rPr>
          <w:i/>
        </w:rPr>
      </w:r>
      <w:r>
        <w:rPr>
          <w:i/>
        </w:rPr>
        <w:fldChar w:fldCharType="separate"/>
      </w:r>
      <w:r>
        <w:rPr>
          <w:i/>
        </w:rPr>
        <w:t>[1]</w:t>
      </w:r>
      <w:r>
        <w:rPr>
          <w:i/>
        </w:rPr>
        <w:fldChar w:fldCharType="end"/>
      </w:r>
      <w:r>
        <w:rPr>
          <w:i/>
        </w:rPr>
        <w:t xml:space="preserve"> shall be used for </w:t>
      </w:r>
      <w:r w:rsidRPr="000F62DC">
        <w:rPr>
          <w:i/>
        </w:rPr>
        <w:t xml:space="preserve">predicting the fading due to </w:t>
      </w:r>
      <w:r>
        <w:rPr>
          <w:i/>
        </w:rPr>
        <w:t xml:space="preserve">tropospheric </w:t>
      </w:r>
      <w:r w:rsidRPr="000F62DC">
        <w:rPr>
          <w:i/>
        </w:rPr>
        <w:t>amplitude scintillation</w:t>
      </w:r>
      <w:r>
        <w:rPr>
          <w:i/>
        </w:rPr>
        <w:t>.</w:t>
      </w:r>
    </w:p>
    <w:p w:rsidR="00BC4231" w:rsidRPr="00D753CF" w:rsidRDefault="00BC4231" w:rsidP="00BC4231">
      <w:r>
        <w:rPr>
          <w:b/>
          <w:i/>
        </w:rPr>
        <w:t>Proposal 2</w:t>
      </w:r>
      <w:r w:rsidRPr="00BC4231">
        <w:rPr>
          <w:b/>
          <w:i/>
        </w:rPr>
        <w:t xml:space="preserve">: </w:t>
      </w:r>
      <w:r w:rsidRPr="00BC4231">
        <w:rPr>
          <w:i/>
        </w:rPr>
        <w:t xml:space="preserve">The </w:t>
      </w:r>
      <w:r>
        <w:rPr>
          <w:i/>
        </w:rPr>
        <w:t>generation of tropospheric attenuation</w:t>
      </w:r>
      <w:r w:rsidRPr="00BC4231">
        <w:rPr>
          <w:i/>
        </w:rPr>
        <w:t xml:space="preserve"> </w:t>
      </w:r>
      <w:r>
        <w:rPr>
          <w:i/>
        </w:rPr>
        <w:t xml:space="preserve">time series shall be performed with the model provided in </w:t>
      </w:r>
      <w:r>
        <w:rPr>
          <w:i/>
        </w:rPr>
        <w:fldChar w:fldCharType="begin"/>
      </w:r>
      <w:r>
        <w:rPr>
          <w:i/>
        </w:rPr>
        <w:instrText xml:space="preserve"> REF _Ref510784362 \r \h </w:instrText>
      </w:r>
      <w:r>
        <w:rPr>
          <w:i/>
        </w:rPr>
      </w:r>
      <w:r>
        <w:rPr>
          <w:i/>
        </w:rPr>
        <w:fldChar w:fldCharType="separate"/>
      </w:r>
      <w:r>
        <w:rPr>
          <w:i/>
        </w:rPr>
        <w:t>[4]</w:t>
      </w:r>
      <w:r>
        <w:rPr>
          <w:i/>
        </w:rPr>
        <w:fldChar w:fldCharType="end"/>
      </w:r>
      <w:r w:rsidRPr="00BC4231">
        <w:rPr>
          <w:i/>
        </w:rPr>
        <w:t>.</w:t>
      </w:r>
    </w:p>
    <w:p w:rsidR="00BC4231" w:rsidRPr="000931EB" w:rsidRDefault="00BC4231" w:rsidP="000F62DC">
      <w:pPr>
        <w:rPr>
          <w:i/>
        </w:rPr>
      </w:pPr>
    </w:p>
    <w:p w:rsidR="00DA1790" w:rsidRDefault="00DA1790" w:rsidP="00DA1790">
      <w:pPr>
        <w:pStyle w:val="Heading1"/>
      </w:pPr>
      <w:r>
        <w:t>References</w:t>
      </w:r>
    </w:p>
    <w:p w:rsidR="00DA1790" w:rsidRPr="007B74CE" w:rsidRDefault="00DA1790" w:rsidP="00DA1790">
      <w:pPr>
        <w:pStyle w:val="ListParagraph"/>
        <w:numPr>
          <w:ilvl w:val="0"/>
          <w:numId w:val="31"/>
        </w:numPr>
        <w:rPr>
          <w:rFonts w:eastAsia="MS Mincho"/>
          <w:lang w:eastAsia="ja-JP"/>
        </w:rPr>
      </w:pPr>
      <w:bookmarkStart w:id="4" w:name="_Ref510721134"/>
      <w:bookmarkEnd w:id="3"/>
      <w:r w:rsidRPr="007B74CE">
        <w:rPr>
          <w:rFonts w:eastAsia="MS Mincho"/>
          <w:lang w:eastAsia="ja-JP"/>
        </w:rPr>
        <w:t>ITU-R. “</w:t>
      </w:r>
      <w:r w:rsidRPr="00D753CF">
        <w:rPr>
          <w:rFonts w:eastAsia="MS Mincho"/>
          <w:lang w:eastAsia="ja-JP"/>
        </w:rPr>
        <w:t>Propagation data and prediction methods required for the design of Earth-space telecommunication systems</w:t>
      </w:r>
      <w:r w:rsidRPr="007B74CE">
        <w:rPr>
          <w:rFonts w:eastAsia="MS Mincho"/>
          <w:lang w:eastAsia="ja-JP"/>
        </w:rPr>
        <w:t>”, Rec. ITU-R P.618-13 (12/2017)</w:t>
      </w:r>
      <w:bookmarkEnd w:id="4"/>
    </w:p>
    <w:p w:rsidR="005E0C14" w:rsidRDefault="005E0C14" w:rsidP="005E0C14">
      <w:pPr>
        <w:pStyle w:val="ListParagraph"/>
        <w:numPr>
          <w:ilvl w:val="0"/>
          <w:numId w:val="31"/>
        </w:numPr>
        <w:rPr>
          <w:rFonts w:eastAsia="MS Mincho"/>
          <w:lang w:eastAsia="ja-JP"/>
        </w:rPr>
      </w:pPr>
      <w:bookmarkStart w:id="5" w:name="_Ref510721141"/>
      <w:r w:rsidRPr="007B74CE">
        <w:rPr>
          <w:rFonts w:eastAsia="MS Mincho"/>
          <w:lang w:eastAsia="ja-JP"/>
        </w:rPr>
        <w:t>ITU-R. “</w:t>
      </w:r>
      <w:r w:rsidRPr="005E0C14">
        <w:rPr>
          <w:rFonts w:eastAsia="MS Mincho"/>
          <w:lang w:eastAsia="ja-JP"/>
        </w:rPr>
        <w:t>The radi</w:t>
      </w:r>
      <w:r>
        <w:rPr>
          <w:rFonts w:eastAsia="MS Mincho"/>
          <w:lang w:eastAsia="ja-JP"/>
        </w:rPr>
        <w:t xml:space="preserve">o refractive index: its formula </w:t>
      </w:r>
      <w:r w:rsidRPr="005E0C14">
        <w:rPr>
          <w:rFonts w:eastAsia="MS Mincho"/>
          <w:lang w:eastAsia="ja-JP"/>
        </w:rPr>
        <w:t>and refractivity data”, Rec. ITU-R P.</w:t>
      </w:r>
      <w:r>
        <w:rPr>
          <w:rFonts w:eastAsia="MS Mincho"/>
          <w:lang w:eastAsia="ja-JP"/>
        </w:rPr>
        <w:t>453</w:t>
      </w:r>
      <w:r w:rsidRPr="005E0C14">
        <w:rPr>
          <w:rFonts w:eastAsia="MS Mincho"/>
          <w:lang w:eastAsia="ja-JP"/>
        </w:rPr>
        <w:t>-13 (12/2017)</w:t>
      </w:r>
    </w:p>
    <w:p w:rsidR="005E0C14" w:rsidRPr="005E0C14" w:rsidRDefault="005E0C14" w:rsidP="005E0C14">
      <w:pPr>
        <w:pStyle w:val="ListParagraph"/>
        <w:numPr>
          <w:ilvl w:val="0"/>
          <w:numId w:val="31"/>
        </w:numPr>
        <w:rPr>
          <w:rFonts w:eastAsia="MS Mincho"/>
          <w:lang w:eastAsia="ja-JP"/>
        </w:rPr>
      </w:pPr>
      <w:r w:rsidRPr="007B74CE">
        <w:rPr>
          <w:rFonts w:eastAsia="MS Mincho"/>
          <w:lang w:eastAsia="ja-JP"/>
        </w:rPr>
        <w:t>ITU-R. “</w:t>
      </w:r>
      <w:r w:rsidRPr="005E0C14">
        <w:rPr>
          <w:rFonts w:eastAsia="MS Mincho"/>
          <w:lang w:eastAsia="ja-JP"/>
        </w:rPr>
        <w:t>Acquisition, presentation and analysis of data in st</w:t>
      </w:r>
      <w:r>
        <w:rPr>
          <w:rFonts w:eastAsia="MS Mincho"/>
          <w:lang w:eastAsia="ja-JP"/>
        </w:rPr>
        <w:t xml:space="preserve">udies of radiowave propagation </w:t>
      </w:r>
      <w:r w:rsidRPr="005E0C14">
        <w:rPr>
          <w:rFonts w:eastAsia="MS Mincho"/>
          <w:lang w:eastAsia="ja-JP"/>
        </w:rPr>
        <w:t>”, Rec. ITU-R P.</w:t>
      </w:r>
      <w:r>
        <w:rPr>
          <w:rFonts w:eastAsia="MS Mincho"/>
          <w:lang w:eastAsia="ja-JP"/>
        </w:rPr>
        <w:t>311</w:t>
      </w:r>
      <w:r w:rsidRPr="005E0C14">
        <w:rPr>
          <w:rFonts w:eastAsia="MS Mincho"/>
          <w:lang w:eastAsia="ja-JP"/>
        </w:rPr>
        <w:t>-1</w:t>
      </w:r>
      <w:r>
        <w:rPr>
          <w:rFonts w:eastAsia="MS Mincho"/>
          <w:lang w:eastAsia="ja-JP"/>
        </w:rPr>
        <w:t>7</w:t>
      </w:r>
      <w:r w:rsidRPr="005E0C14">
        <w:rPr>
          <w:rFonts w:eastAsia="MS Mincho"/>
          <w:lang w:eastAsia="ja-JP"/>
        </w:rPr>
        <w:t xml:space="preserve"> (12/2017)</w:t>
      </w:r>
    </w:p>
    <w:p w:rsidR="00E50801" w:rsidRPr="005E0C14" w:rsidRDefault="00E50801" w:rsidP="00E50801">
      <w:pPr>
        <w:pStyle w:val="ListParagraph"/>
        <w:numPr>
          <w:ilvl w:val="0"/>
          <w:numId w:val="31"/>
        </w:numPr>
        <w:rPr>
          <w:rFonts w:eastAsia="MS Mincho"/>
          <w:lang w:eastAsia="ja-JP"/>
        </w:rPr>
      </w:pPr>
      <w:bookmarkStart w:id="6" w:name="_Ref510784362"/>
      <w:r w:rsidRPr="007B74CE">
        <w:rPr>
          <w:rFonts w:eastAsia="MS Mincho"/>
          <w:lang w:eastAsia="ja-JP"/>
        </w:rPr>
        <w:t>ITU-R. “</w:t>
      </w:r>
      <w:r w:rsidRPr="00E50801">
        <w:rPr>
          <w:rFonts w:eastAsia="MS Mincho"/>
          <w:lang w:eastAsia="ja-JP"/>
        </w:rPr>
        <w:t>Tropospheric attenuation time series synthesis</w:t>
      </w:r>
      <w:r>
        <w:rPr>
          <w:rFonts w:eastAsia="MS Mincho"/>
          <w:lang w:eastAsia="ja-JP"/>
        </w:rPr>
        <w:t xml:space="preserve"> </w:t>
      </w:r>
      <w:r w:rsidRPr="005E0C14">
        <w:rPr>
          <w:rFonts w:eastAsia="MS Mincho"/>
          <w:lang w:eastAsia="ja-JP"/>
        </w:rPr>
        <w:t>”, Rec. ITU-R P.</w:t>
      </w:r>
      <w:r>
        <w:rPr>
          <w:rFonts w:eastAsia="MS Mincho"/>
          <w:lang w:eastAsia="ja-JP"/>
        </w:rPr>
        <w:t>1853</w:t>
      </w:r>
      <w:r w:rsidRPr="005E0C14">
        <w:rPr>
          <w:rFonts w:eastAsia="MS Mincho"/>
          <w:lang w:eastAsia="ja-JP"/>
        </w:rPr>
        <w:t>-1</w:t>
      </w:r>
      <w:r>
        <w:rPr>
          <w:rFonts w:eastAsia="MS Mincho"/>
          <w:lang w:eastAsia="ja-JP"/>
        </w:rPr>
        <w:t xml:space="preserve"> (</w:t>
      </w:r>
      <w:r w:rsidRPr="005E0C14">
        <w:rPr>
          <w:rFonts w:eastAsia="MS Mincho"/>
          <w:lang w:eastAsia="ja-JP"/>
        </w:rPr>
        <w:t>2/201</w:t>
      </w:r>
      <w:r>
        <w:rPr>
          <w:rFonts w:eastAsia="MS Mincho"/>
          <w:lang w:eastAsia="ja-JP"/>
        </w:rPr>
        <w:t>2</w:t>
      </w:r>
      <w:r w:rsidRPr="005E0C14">
        <w:rPr>
          <w:rFonts w:eastAsia="MS Mincho"/>
          <w:lang w:eastAsia="ja-JP"/>
        </w:rPr>
        <w:t>)</w:t>
      </w:r>
      <w:bookmarkEnd w:id="6"/>
    </w:p>
    <w:bookmarkEnd w:id="5"/>
    <w:p w:rsidR="006453E7" w:rsidRPr="00DA1790" w:rsidRDefault="006453E7" w:rsidP="00DA1790"/>
    <w:sectPr w:rsidR="006453E7" w:rsidRPr="00DA17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07B1" w:rsidRDefault="00A407B1">
      <w:r>
        <w:separator/>
      </w:r>
    </w:p>
  </w:endnote>
  <w:endnote w:type="continuationSeparator" w:id="0">
    <w:p w:rsidR="00A407B1" w:rsidRDefault="00A40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07B1" w:rsidRDefault="00A407B1">
      <w:r>
        <w:separator/>
      </w:r>
    </w:p>
  </w:footnote>
  <w:footnote w:type="continuationSeparator" w:id="0">
    <w:p w:rsidR="00A407B1" w:rsidRDefault="00A40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82347"/>
    <w:multiLevelType w:val="hybridMultilevel"/>
    <w:tmpl w:val="05A86446"/>
    <w:lvl w:ilvl="0" w:tplc="62EC544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4BD2F7E"/>
    <w:multiLevelType w:val="hybridMultilevel"/>
    <w:tmpl w:val="738E8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6C3C13"/>
    <w:multiLevelType w:val="multilevel"/>
    <w:tmpl w:val="8B0E1910"/>
    <w:lvl w:ilvl="0">
      <w:start w:val="1"/>
      <w:numFmt w:val="decimal"/>
      <w:lvlText w:val="%1"/>
      <w:lvlJc w:val="left"/>
      <w:pPr>
        <w:tabs>
          <w:tab w:val="num" w:pos="907"/>
        </w:tabs>
        <w:ind w:left="907" w:hanging="907"/>
      </w:pPr>
    </w:lvl>
    <w:lvl w:ilvl="1">
      <w:start w:val="1"/>
      <w:numFmt w:val="decimal"/>
      <w:lvlText w:val="%1.%2"/>
      <w:lvlJc w:val="left"/>
      <w:pPr>
        <w:tabs>
          <w:tab w:val="num" w:pos="907"/>
        </w:tabs>
        <w:ind w:left="907" w:hanging="907"/>
      </w:pPr>
    </w:lvl>
    <w:lvl w:ilvl="2">
      <w:start w:val="1"/>
      <w:numFmt w:val="decimal"/>
      <w:lvlText w:val="%1.%2.%3"/>
      <w:lvlJc w:val="left"/>
      <w:pPr>
        <w:tabs>
          <w:tab w:val="num" w:pos="907"/>
        </w:tabs>
        <w:ind w:left="907" w:hanging="907"/>
      </w:pPr>
    </w:lvl>
    <w:lvl w:ilvl="3">
      <w:start w:val="1"/>
      <w:numFmt w:val="decimal"/>
      <w:lvlText w:val="%1.%2.%3.%4"/>
      <w:lvlJc w:val="left"/>
      <w:pPr>
        <w:tabs>
          <w:tab w:val="num" w:pos="907"/>
        </w:tabs>
        <w:ind w:left="907" w:hanging="907"/>
      </w:pPr>
    </w:lvl>
    <w:lvl w:ilvl="4">
      <w:start w:val="1"/>
      <w:numFmt w:val="decimal"/>
      <w:lvlText w:val="%1.%2.%3.%4.%5"/>
      <w:lvlJc w:val="left"/>
      <w:pPr>
        <w:tabs>
          <w:tab w:val="num" w:pos="1440"/>
        </w:tabs>
        <w:ind w:left="907" w:hanging="907"/>
      </w:pPr>
    </w:lvl>
    <w:lvl w:ilvl="5">
      <w:start w:val="1"/>
      <w:numFmt w:val="decimal"/>
      <w:lvlText w:val="%1.%2.%3.%4.%5.%6"/>
      <w:lvlJc w:val="left"/>
      <w:pPr>
        <w:tabs>
          <w:tab w:val="num" w:pos="1440"/>
        </w:tabs>
        <w:ind w:left="907" w:hanging="907"/>
      </w:pPr>
    </w:lvl>
    <w:lvl w:ilvl="6">
      <w:start w:val="1"/>
      <w:numFmt w:val="decimal"/>
      <w:lvlText w:val="%1.%2.%3.%4.%5.%6.%7"/>
      <w:lvlJc w:val="left"/>
      <w:pPr>
        <w:tabs>
          <w:tab w:val="num" w:pos="1800"/>
        </w:tabs>
        <w:ind w:left="907" w:hanging="907"/>
      </w:pPr>
    </w:lvl>
    <w:lvl w:ilvl="7">
      <w:start w:val="1"/>
      <w:numFmt w:val="decimal"/>
      <w:lvlText w:val="%1.%2.%3.%4.%5.%6.%7.%8"/>
      <w:lvlJc w:val="left"/>
      <w:pPr>
        <w:tabs>
          <w:tab w:val="num" w:pos="2160"/>
        </w:tabs>
        <w:ind w:left="907" w:hanging="907"/>
      </w:pPr>
    </w:lvl>
    <w:lvl w:ilvl="8">
      <w:start w:val="1"/>
      <w:numFmt w:val="upperLetter"/>
      <w:lvlText w:val="Appendix %9"/>
      <w:lvlJc w:val="left"/>
      <w:pPr>
        <w:tabs>
          <w:tab w:val="num" w:pos="3067"/>
        </w:tabs>
        <w:ind w:left="2268" w:hanging="1361"/>
      </w:p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86602D8"/>
    <w:multiLevelType w:val="hybridMultilevel"/>
    <w:tmpl w:val="73A29D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D105A1B"/>
    <w:multiLevelType w:val="hybridMultilevel"/>
    <w:tmpl w:val="2AB84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0"/>
  </w:num>
  <w:num w:numId="3">
    <w:abstractNumId w:val="19"/>
  </w:num>
  <w:num w:numId="4">
    <w:abstractNumId w:val="16"/>
  </w:num>
  <w:num w:numId="5">
    <w:abstractNumId w:val="9"/>
  </w:num>
  <w:num w:numId="6">
    <w:abstractNumId w:val="32"/>
  </w:num>
  <w:num w:numId="7">
    <w:abstractNumId w:val="17"/>
  </w:num>
  <w:num w:numId="8">
    <w:abstractNumId w:val="24"/>
  </w:num>
  <w:num w:numId="9">
    <w:abstractNumId w:val="29"/>
  </w:num>
  <w:num w:numId="10">
    <w:abstractNumId w:val="30"/>
  </w:num>
  <w:num w:numId="11">
    <w:abstractNumId w:val="34"/>
  </w:num>
  <w:num w:numId="12">
    <w:abstractNumId w:val="14"/>
  </w:num>
  <w:num w:numId="13">
    <w:abstractNumId w:val="26"/>
  </w:num>
  <w:num w:numId="14">
    <w:abstractNumId w:val="25"/>
  </w:num>
  <w:num w:numId="15">
    <w:abstractNumId w:val="22"/>
  </w:num>
  <w:num w:numId="16">
    <w:abstractNumId w:val="12"/>
  </w:num>
  <w:num w:numId="17">
    <w:abstractNumId w:val="21"/>
  </w:num>
  <w:num w:numId="18">
    <w:abstractNumId w:val="13"/>
  </w:num>
  <w:num w:numId="19">
    <w:abstractNumId w:val="11"/>
  </w:num>
  <w:num w:numId="20">
    <w:abstractNumId w:val="28"/>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0"/>
  </w:num>
  <w:num w:numId="32">
    <w:abstractNumId w:val="31"/>
  </w:num>
  <w:num w:numId="33">
    <w:abstractNumId w:val="15"/>
  </w:num>
  <w:num w:numId="34">
    <w:abstractNumId w:val="27"/>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1E"/>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1EB"/>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4B04"/>
    <w:rsid w:val="000A6351"/>
    <w:rsid w:val="000A63D6"/>
    <w:rsid w:val="000A7B38"/>
    <w:rsid w:val="000B0343"/>
    <w:rsid w:val="000B2985"/>
    <w:rsid w:val="000B2C88"/>
    <w:rsid w:val="000B312A"/>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6454"/>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C58"/>
    <w:rsid w:val="000E1380"/>
    <w:rsid w:val="000E18DF"/>
    <w:rsid w:val="000E59A0"/>
    <w:rsid w:val="000E7A84"/>
    <w:rsid w:val="000F15BC"/>
    <w:rsid w:val="000F180A"/>
    <w:rsid w:val="000F1C92"/>
    <w:rsid w:val="000F2EEE"/>
    <w:rsid w:val="000F3697"/>
    <w:rsid w:val="000F62DC"/>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3921"/>
    <w:rsid w:val="0015540F"/>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08A4"/>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1F9"/>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0CA2"/>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4AF1"/>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3C19"/>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0DD"/>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24"/>
    <w:rsid w:val="002C1460"/>
    <w:rsid w:val="002C20F2"/>
    <w:rsid w:val="002C38B2"/>
    <w:rsid w:val="002C3F9C"/>
    <w:rsid w:val="002C5AFA"/>
    <w:rsid w:val="002D0439"/>
    <w:rsid w:val="002D11B7"/>
    <w:rsid w:val="002D27E4"/>
    <w:rsid w:val="002D3BBC"/>
    <w:rsid w:val="002D438A"/>
    <w:rsid w:val="002D5738"/>
    <w:rsid w:val="002D5E53"/>
    <w:rsid w:val="002D6624"/>
    <w:rsid w:val="002E0319"/>
    <w:rsid w:val="002E07E6"/>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2AA5"/>
    <w:rsid w:val="003336B3"/>
    <w:rsid w:val="00335B75"/>
    <w:rsid w:val="00335D8C"/>
    <w:rsid w:val="00336072"/>
    <w:rsid w:val="003363A1"/>
    <w:rsid w:val="0034226D"/>
    <w:rsid w:val="00342972"/>
    <w:rsid w:val="00342FDD"/>
    <w:rsid w:val="0034429B"/>
    <w:rsid w:val="00344866"/>
    <w:rsid w:val="00345301"/>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368"/>
    <w:rsid w:val="003F788D"/>
    <w:rsid w:val="0040126E"/>
    <w:rsid w:val="004020D4"/>
    <w:rsid w:val="004021B6"/>
    <w:rsid w:val="00404509"/>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2443"/>
    <w:rsid w:val="00453BB6"/>
    <w:rsid w:val="00453CAA"/>
    <w:rsid w:val="00455113"/>
    <w:rsid w:val="00456421"/>
    <w:rsid w:val="00456DAB"/>
    <w:rsid w:val="00460CC3"/>
    <w:rsid w:val="00460E86"/>
    <w:rsid w:val="004646B4"/>
    <w:rsid w:val="00464A88"/>
    <w:rsid w:val="004651A0"/>
    <w:rsid w:val="00466532"/>
    <w:rsid w:val="00467488"/>
    <w:rsid w:val="004674EE"/>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10D4"/>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484D"/>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0B3D"/>
    <w:rsid w:val="004E1A31"/>
    <w:rsid w:val="004E2DE0"/>
    <w:rsid w:val="004E4060"/>
    <w:rsid w:val="004E409A"/>
    <w:rsid w:val="004F0FB9"/>
    <w:rsid w:val="004F2F7E"/>
    <w:rsid w:val="004F32B5"/>
    <w:rsid w:val="004F407E"/>
    <w:rsid w:val="004F5479"/>
    <w:rsid w:val="004F6E8E"/>
    <w:rsid w:val="004F7528"/>
    <w:rsid w:val="004F7BCA"/>
    <w:rsid w:val="004F7D89"/>
    <w:rsid w:val="00501981"/>
    <w:rsid w:val="00501A85"/>
    <w:rsid w:val="00501BB3"/>
    <w:rsid w:val="005021DD"/>
    <w:rsid w:val="005026CA"/>
    <w:rsid w:val="00502B72"/>
    <w:rsid w:val="00504BC1"/>
    <w:rsid w:val="00505134"/>
    <w:rsid w:val="005058E8"/>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0C4"/>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3C75"/>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42B"/>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0C14"/>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E81"/>
    <w:rsid w:val="006130F7"/>
    <w:rsid w:val="00613AF8"/>
    <w:rsid w:val="00613D8E"/>
    <w:rsid w:val="00613FAA"/>
    <w:rsid w:val="006142E0"/>
    <w:rsid w:val="00614E77"/>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1DD"/>
    <w:rsid w:val="00637240"/>
    <w:rsid w:val="00643660"/>
    <w:rsid w:val="006453E7"/>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29C"/>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1FE"/>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0C18"/>
    <w:rsid w:val="00721084"/>
    <w:rsid w:val="00721262"/>
    <w:rsid w:val="00721D9B"/>
    <w:rsid w:val="00722121"/>
    <w:rsid w:val="007224B9"/>
    <w:rsid w:val="00722F94"/>
    <w:rsid w:val="00723AA7"/>
    <w:rsid w:val="0072432E"/>
    <w:rsid w:val="00726036"/>
    <w:rsid w:val="00726279"/>
    <w:rsid w:val="00726A9B"/>
    <w:rsid w:val="00727530"/>
    <w:rsid w:val="00731E7C"/>
    <w:rsid w:val="007324E7"/>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379"/>
    <w:rsid w:val="007574FC"/>
    <w:rsid w:val="00760975"/>
    <w:rsid w:val="00761FDA"/>
    <w:rsid w:val="007621FF"/>
    <w:rsid w:val="007634E3"/>
    <w:rsid w:val="00764194"/>
    <w:rsid w:val="00765ED3"/>
    <w:rsid w:val="0076681D"/>
    <w:rsid w:val="00766A65"/>
    <w:rsid w:val="007671F5"/>
    <w:rsid w:val="007676B8"/>
    <w:rsid w:val="007711D0"/>
    <w:rsid w:val="0077175C"/>
    <w:rsid w:val="00771870"/>
    <w:rsid w:val="00771BF9"/>
    <w:rsid w:val="00772F8A"/>
    <w:rsid w:val="007739C6"/>
    <w:rsid w:val="00774889"/>
    <w:rsid w:val="00774FF5"/>
    <w:rsid w:val="007750B3"/>
    <w:rsid w:val="00775F76"/>
    <w:rsid w:val="00776AEA"/>
    <w:rsid w:val="00777BA0"/>
    <w:rsid w:val="00780132"/>
    <w:rsid w:val="007803BD"/>
    <w:rsid w:val="007811DC"/>
    <w:rsid w:val="007820FA"/>
    <w:rsid w:val="0078285F"/>
    <w:rsid w:val="00782DAD"/>
    <w:rsid w:val="00783207"/>
    <w:rsid w:val="00783E1D"/>
    <w:rsid w:val="0078483B"/>
    <w:rsid w:val="00784EED"/>
    <w:rsid w:val="00785900"/>
    <w:rsid w:val="00786898"/>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379"/>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625"/>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55FD"/>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775E"/>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E2B"/>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1CDE"/>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03C6"/>
    <w:rsid w:val="00940F94"/>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26"/>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B73F2"/>
    <w:rsid w:val="009C0074"/>
    <w:rsid w:val="009C0564"/>
    <w:rsid w:val="009C2685"/>
    <w:rsid w:val="009C39BC"/>
    <w:rsid w:val="009C4BC2"/>
    <w:rsid w:val="009C4D22"/>
    <w:rsid w:val="009C7320"/>
    <w:rsid w:val="009D0729"/>
    <w:rsid w:val="009D0F2B"/>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C85"/>
    <w:rsid w:val="00A005B0"/>
    <w:rsid w:val="00A01F17"/>
    <w:rsid w:val="00A022A5"/>
    <w:rsid w:val="00A03A22"/>
    <w:rsid w:val="00A04634"/>
    <w:rsid w:val="00A06119"/>
    <w:rsid w:val="00A07A48"/>
    <w:rsid w:val="00A108EE"/>
    <w:rsid w:val="00A10BB8"/>
    <w:rsid w:val="00A117E9"/>
    <w:rsid w:val="00A1200D"/>
    <w:rsid w:val="00A12293"/>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07B1"/>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526"/>
    <w:rsid w:val="00A64942"/>
    <w:rsid w:val="00A65911"/>
    <w:rsid w:val="00A6643C"/>
    <w:rsid w:val="00A67544"/>
    <w:rsid w:val="00A7075B"/>
    <w:rsid w:val="00A7196D"/>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5350"/>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7044"/>
    <w:rsid w:val="00B10558"/>
    <w:rsid w:val="00B156A9"/>
    <w:rsid w:val="00B15F83"/>
    <w:rsid w:val="00B160FF"/>
    <w:rsid w:val="00B16322"/>
    <w:rsid w:val="00B1662E"/>
    <w:rsid w:val="00B16A6F"/>
    <w:rsid w:val="00B22C0D"/>
    <w:rsid w:val="00B23AF4"/>
    <w:rsid w:val="00B23C15"/>
    <w:rsid w:val="00B25762"/>
    <w:rsid w:val="00B25B40"/>
    <w:rsid w:val="00B25E71"/>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B2F"/>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138"/>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3CC4"/>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231"/>
    <w:rsid w:val="00BC46EF"/>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0B"/>
    <w:rsid w:val="00C12012"/>
    <w:rsid w:val="00C12874"/>
    <w:rsid w:val="00C12BC1"/>
    <w:rsid w:val="00C13BDA"/>
    <w:rsid w:val="00C13FFD"/>
    <w:rsid w:val="00C14632"/>
    <w:rsid w:val="00C16C30"/>
    <w:rsid w:val="00C20A00"/>
    <w:rsid w:val="00C21673"/>
    <w:rsid w:val="00C21C7A"/>
    <w:rsid w:val="00C23130"/>
    <w:rsid w:val="00C25444"/>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0D27"/>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0F4"/>
    <w:rsid w:val="00C647FB"/>
    <w:rsid w:val="00C654E0"/>
    <w:rsid w:val="00C67EAB"/>
    <w:rsid w:val="00C70DFF"/>
    <w:rsid w:val="00C75A6B"/>
    <w:rsid w:val="00C763B6"/>
    <w:rsid w:val="00C7644F"/>
    <w:rsid w:val="00C768F6"/>
    <w:rsid w:val="00C80073"/>
    <w:rsid w:val="00C80DEA"/>
    <w:rsid w:val="00C832DC"/>
    <w:rsid w:val="00C8377F"/>
    <w:rsid w:val="00C8646D"/>
    <w:rsid w:val="00C86882"/>
    <w:rsid w:val="00C91DE3"/>
    <w:rsid w:val="00C92C7F"/>
    <w:rsid w:val="00C9369D"/>
    <w:rsid w:val="00C944FA"/>
    <w:rsid w:val="00C95306"/>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0FB"/>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5D6C"/>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2CEA"/>
    <w:rsid w:val="00D7356F"/>
    <w:rsid w:val="00D73587"/>
    <w:rsid w:val="00D73EBB"/>
    <w:rsid w:val="00D751FB"/>
    <w:rsid w:val="00D753CF"/>
    <w:rsid w:val="00D754D6"/>
    <w:rsid w:val="00D761AA"/>
    <w:rsid w:val="00D76FAE"/>
    <w:rsid w:val="00D777D7"/>
    <w:rsid w:val="00D80AB8"/>
    <w:rsid w:val="00D81792"/>
    <w:rsid w:val="00D819B1"/>
    <w:rsid w:val="00D82494"/>
    <w:rsid w:val="00D83AE9"/>
    <w:rsid w:val="00D84153"/>
    <w:rsid w:val="00D857B8"/>
    <w:rsid w:val="00D87175"/>
    <w:rsid w:val="00D87ABF"/>
    <w:rsid w:val="00D90CD3"/>
    <w:rsid w:val="00D919E6"/>
    <w:rsid w:val="00D91BE1"/>
    <w:rsid w:val="00D92C29"/>
    <w:rsid w:val="00D9348A"/>
    <w:rsid w:val="00D936E2"/>
    <w:rsid w:val="00D95104"/>
    <w:rsid w:val="00D95600"/>
    <w:rsid w:val="00D9683C"/>
    <w:rsid w:val="00D97884"/>
    <w:rsid w:val="00DA0A7F"/>
    <w:rsid w:val="00DA1790"/>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03E"/>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377A"/>
    <w:rsid w:val="00E14A7E"/>
    <w:rsid w:val="00E14AC2"/>
    <w:rsid w:val="00E151E1"/>
    <w:rsid w:val="00E17508"/>
    <w:rsid w:val="00E17619"/>
    <w:rsid w:val="00E17805"/>
    <w:rsid w:val="00E20F79"/>
    <w:rsid w:val="00E21278"/>
    <w:rsid w:val="00E220B1"/>
    <w:rsid w:val="00E22CCD"/>
    <w:rsid w:val="00E23A11"/>
    <w:rsid w:val="00E23FB7"/>
    <w:rsid w:val="00E24A27"/>
    <w:rsid w:val="00E25F89"/>
    <w:rsid w:val="00E32D62"/>
    <w:rsid w:val="00E339DC"/>
    <w:rsid w:val="00E33E15"/>
    <w:rsid w:val="00E361B8"/>
    <w:rsid w:val="00E36A1B"/>
    <w:rsid w:val="00E378DE"/>
    <w:rsid w:val="00E429ED"/>
    <w:rsid w:val="00E43F37"/>
    <w:rsid w:val="00E450ED"/>
    <w:rsid w:val="00E4791B"/>
    <w:rsid w:val="00E47E31"/>
    <w:rsid w:val="00E50801"/>
    <w:rsid w:val="00E50AC6"/>
    <w:rsid w:val="00E51DDD"/>
    <w:rsid w:val="00E51FDD"/>
    <w:rsid w:val="00E52435"/>
    <w:rsid w:val="00E53122"/>
    <w:rsid w:val="00E5351B"/>
    <w:rsid w:val="00E53FA9"/>
    <w:rsid w:val="00E5414C"/>
    <w:rsid w:val="00E547B3"/>
    <w:rsid w:val="00E5733D"/>
    <w:rsid w:val="00E60A46"/>
    <w:rsid w:val="00E61CC0"/>
    <w:rsid w:val="00E6277B"/>
    <w:rsid w:val="00E63B36"/>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3E0D"/>
    <w:rsid w:val="00E8519F"/>
    <w:rsid w:val="00E85CC3"/>
    <w:rsid w:val="00E8644A"/>
    <w:rsid w:val="00E90279"/>
    <w:rsid w:val="00E90635"/>
    <w:rsid w:val="00E909A1"/>
    <w:rsid w:val="00E90BFF"/>
    <w:rsid w:val="00E91F04"/>
    <w:rsid w:val="00E91F35"/>
    <w:rsid w:val="00E95BA6"/>
    <w:rsid w:val="00E9721F"/>
    <w:rsid w:val="00E97648"/>
    <w:rsid w:val="00EA0E4A"/>
    <w:rsid w:val="00EA1A54"/>
    <w:rsid w:val="00EA2226"/>
    <w:rsid w:val="00EA26FC"/>
    <w:rsid w:val="00EA3B5A"/>
    <w:rsid w:val="00EA410E"/>
    <w:rsid w:val="00EA4FD1"/>
    <w:rsid w:val="00EA53C2"/>
    <w:rsid w:val="00EA5695"/>
    <w:rsid w:val="00EA5B0A"/>
    <w:rsid w:val="00EA65AD"/>
    <w:rsid w:val="00EA6E63"/>
    <w:rsid w:val="00EA7FCF"/>
    <w:rsid w:val="00EB0CA3"/>
    <w:rsid w:val="00EB104F"/>
    <w:rsid w:val="00EB1B27"/>
    <w:rsid w:val="00EB1DA8"/>
    <w:rsid w:val="00EB4CFF"/>
    <w:rsid w:val="00EB5476"/>
    <w:rsid w:val="00EB70B0"/>
    <w:rsid w:val="00EB7633"/>
    <w:rsid w:val="00EB7736"/>
    <w:rsid w:val="00EC2E2D"/>
    <w:rsid w:val="00EC462B"/>
    <w:rsid w:val="00EC471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738"/>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565F"/>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C3F59BF-475B-4BD6-B5C7-86E5ADA72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aliases w:val="Livello 1,ITT t1,PA Chapter,TE,Level 1,h1"/>
    <w:basedOn w:val="Normal"/>
    <w:next w:val="Normal"/>
    <w:qFormat/>
    <w:rsid w:val="00830625"/>
    <w:pPr>
      <w:keepNext/>
      <w:numPr>
        <w:numId w:val="3"/>
      </w:numPr>
      <w:tabs>
        <w:tab w:val="clear" w:pos="432"/>
      </w:tabs>
      <w:spacing w:before="120"/>
      <w:outlineLvl w:val="0"/>
    </w:pPr>
    <w:rPr>
      <w:b/>
      <w:bCs/>
      <w:sz w:val="28"/>
      <w:szCs w:val="28"/>
    </w:rPr>
  </w:style>
  <w:style w:type="paragraph" w:styleId="Heading2">
    <w:name w:val="heading 2"/>
    <w:aliases w:val="H2,h2"/>
    <w:basedOn w:val="Normal"/>
    <w:next w:val="Normal"/>
    <w:qFormat/>
    <w:rsid w:val="00830625"/>
    <w:pPr>
      <w:keepNext/>
      <w:numPr>
        <w:ilvl w:val="1"/>
        <w:numId w:val="3"/>
      </w:numPr>
      <w:tabs>
        <w:tab w:val="clear" w:pos="576"/>
      </w:tabs>
      <w:spacing w:before="120"/>
      <w:outlineLvl w:val="1"/>
    </w:pPr>
    <w:rPr>
      <w:b/>
      <w:bCs/>
      <w:sz w:val="24"/>
    </w:rPr>
  </w:style>
  <w:style w:type="paragraph" w:styleId="Heading3">
    <w:name w:val="heading 3"/>
    <w:aliases w:val="H3,h3,Heading 3 Char,Heading 3 Char1 Char,Heading 3 Char Char Char,H3 Char Char Char,h3 Char Char Char,H3 Char1 Char,h3 Char1 Char,Heading 3 Char1 Char Char1 Char,Heading 3 Char Char Char Char1 Char,H3 Char Char Char Char1 Char,Heading 3 Char1"/>
    <w:basedOn w:val="Normal"/>
    <w:next w:val="Normal"/>
    <w:qFormat/>
    <w:rsid w:val="00830625"/>
    <w:pPr>
      <w:keepNext/>
      <w:numPr>
        <w:ilvl w:val="2"/>
        <w:numId w:val="3"/>
      </w:numPr>
      <w:tabs>
        <w:tab w:val="clear" w:pos="720"/>
      </w:tabs>
      <w:spacing w:before="120"/>
      <w:outlineLvl w:val="2"/>
    </w:pPr>
    <w:rPr>
      <w:b/>
    </w:rPr>
  </w:style>
  <w:style w:type="paragraph" w:styleId="Heading4">
    <w:name w:val="heading 4"/>
    <w:basedOn w:val="Normal"/>
    <w:next w:val="Normal"/>
    <w:qFormat/>
    <w:rsid w:val="00830625"/>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830625"/>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830625"/>
    <w:pPr>
      <w:numPr>
        <w:ilvl w:val="5"/>
        <w:numId w:val="3"/>
      </w:numPr>
      <w:spacing w:before="240" w:after="60"/>
      <w:outlineLvl w:val="5"/>
    </w:pPr>
    <w:rPr>
      <w:b/>
      <w:bCs/>
    </w:rPr>
  </w:style>
  <w:style w:type="paragraph" w:styleId="Heading7">
    <w:name w:val="heading 7"/>
    <w:basedOn w:val="Normal"/>
    <w:next w:val="Normal"/>
    <w:qFormat/>
    <w:rsid w:val="00830625"/>
    <w:pPr>
      <w:numPr>
        <w:ilvl w:val="6"/>
        <w:numId w:val="3"/>
      </w:numPr>
      <w:spacing w:before="240" w:after="60"/>
      <w:outlineLvl w:val="6"/>
    </w:pPr>
    <w:rPr>
      <w:sz w:val="24"/>
      <w:szCs w:val="24"/>
    </w:rPr>
  </w:style>
  <w:style w:type="paragraph" w:styleId="Heading8">
    <w:name w:val="heading 8"/>
    <w:basedOn w:val="Normal"/>
    <w:next w:val="Normal"/>
    <w:qFormat/>
    <w:rsid w:val="00830625"/>
    <w:pPr>
      <w:numPr>
        <w:ilvl w:val="7"/>
        <w:numId w:val="3"/>
      </w:numPr>
      <w:spacing w:before="240" w:after="60"/>
      <w:outlineLvl w:val="7"/>
    </w:pPr>
    <w:rPr>
      <w:i/>
      <w:iCs/>
      <w:sz w:val="24"/>
      <w:szCs w:val="24"/>
    </w:rPr>
  </w:style>
  <w:style w:type="paragraph" w:styleId="Heading9">
    <w:name w:val="heading 9"/>
    <w:basedOn w:val="Normal"/>
    <w:next w:val="Normal"/>
    <w:qFormat/>
    <w:rsid w:val="00830625"/>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30625"/>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30625"/>
    <w:rPr>
      <w:color w:val="0000FF"/>
      <w:u w:val="single"/>
    </w:rPr>
  </w:style>
  <w:style w:type="paragraph" w:styleId="Caption">
    <w:name w:val="caption"/>
    <w:aliases w:val="cap"/>
    <w:basedOn w:val="Normal"/>
    <w:next w:val="Normal"/>
    <w:link w:val="CaptionChar"/>
    <w:qFormat/>
    <w:rsid w:val="00830625"/>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830625"/>
    <w:pPr>
      <w:autoSpaceDE/>
      <w:autoSpaceDN/>
      <w:adjustRightInd/>
      <w:spacing w:after="180"/>
      <w:ind w:left="568" w:hanging="284"/>
      <w:jc w:val="left"/>
    </w:pPr>
    <w:rPr>
      <w:sz w:val="20"/>
      <w:szCs w:val="20"/>
      <w:lang w:val="en-GB"/>
    </w:rPr>
  </w:style>
  <w:style w:type="paragraph" w:styleId="List">
    <w:name w:val="List"/>
    <w:basedOn w:val="Normal"/>
    <w:rsid w:val="00830625"/>
    <w:pPr>
      <w:ind w:left="360" w:hanging="360"/>
    </w:pPr>
  </w:style>
  <w:style w:type="paragraph" w:styleId="BodyText2">
    <w:name w:val="Body Text 2"/>
    <w:basedOn w:val="Normal"/>
    <w:rsid w:val="00830625"/>
    <w:pPr>
      <w:spacing w:after="0"/>
      <w:jc w:val="left"/>
    </w:pPr>
    <w:rPr>
      <w:szCs w:val="20"/>
    </w:rPr>
  </w:style>
  <w:style w:type="paragraph" w:styleId="BalloonText">
    <w:name w:val="Balloon Text"/>
    <w:basedOn w:val="Normal"/>
    <w:semiHidden/>
    <w:rsid w:val="00830625"/>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830625"/>
    <w:rPr>
      <w:color w:val="800080"/>
      <w:u w:val="single"/>
    </w:rPr>
  </w:style>
  <w:style w:type="paragraph" w:styleId="FootnoteText">
    <w:name w:val="footnote text"/>
    <w:basedOn w:val="Normal"/>
    <w:semiHidden/>
    <w:rsid w:val="00830625"/>
    <w:rPr>
      <w:sz w:val="20"/>
      <w:szCs w:val="20"/>
    </w:rPr>
  </w:style>
  <w:style w:type="character" w:styleId="FootnoteReference">
    <w:name w:val="footnote reference"/>
    <w:basedOn w:val="DefaultParagraphFont"/>
    <w:semiHidden/>
    <w:rsid w:val="00830625"/>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D9348A"/>
    <w:rPr>
      <w:rFonts w:ascii="SimSun"/>
      <w:sz w:val="18"/>
      <w:szCs w:val="18"/>
    </w:rPr>
  </w:style>
  <w:style w:type="character" w:customStyle="1" w:styleId="DocumentMapChar">
    <w:name w:val="Document Map Char"/>
    <w:basedOn w:val="DefaultParagraphFont"/>
    <w:link w:val="DocumentMap"/>
    <w:rsid w:val="00D9348A"/>
    <w:rPr>
      <w:rFonts w:ascii="SimSun"/>
      <w:sz w:val="18"/>
      <w:szCs w:val="18"/>
      <w:lang w:eastAsia="en-US"/>
    </w:rPr>
  </w:style>
  <w:style w:type="paragraph" w:customStyle="1" w:styleId="BodytextJustified">
    <w:name w:val="Body text Justified"/>
    <w:basedOn w:val="Normal"/>
    <w:rsid w:val="00E1377A"/>
    <w:pPr>
      <w:autoSpaceDE/>
      <w:autoSpaceDN/>
      <w:adjustRightInd/>
      <w:snapToGrid/>
      <w:spacing w:after="0"/>
    </w:pPr>
    <w:rPr>
      <w:rFonts w:ascii="Georgia" w:eastAsia="Times New Roman" w:hAnsi="Georgia"/>
      <w:sz w:val="24"/>
      <w:szCs w:val="20"/>
      <w:lang w:val="en-GB"/>
    </w:rPr>
  </w:style>
  <w:style w:type="paragraph" w:customStyle="1" w:styleId="Appendix">
    <w:name w:val="Appendix"/>
    <w:basedOn w:val="Heading1"/>
    <w:next w:val="BodytextJustified"/>
    <w:rsid w:val="00E1377A"/>
    <w:pPr>
      <w:numPr>
        <w:numId w:val="0"/>
      </w:numPr>
      <w:tabs>
        <w:tab w:val="num" w:pos="3067"/>
      </w:tabs>
      <w:autoSpaceDE/>
      <w:autoSpaceDN/>
      <w:adjustRightInd/>
      <w:snapToGrid/>
      <w:spacing w:before="0" w:after="240"/>
      <w:ind w:left="2268" w:hanging="1361"/>
      <w:jc w:val="left"/>
      <w:outlineLvl w:val="8"/>
    </w:pPr>
    <w:rPr>
      <w:rFonts w:ascii="Georgia" w:eastAsia="Times New Roman" w:hAnsi="Georgia"/>
      <w:bCs w:val="0"/>
      <w:caps/>
      <w:szCs w:val="20"/>
      <w:lang w:val="en-GB"/>
    </w:rPr>
  </w:style>
  <w:style w:type="paragraph" w:customStyle="1" w:styleId="IEEEParagraph">
    <w:name w:val="IEEE Paragraph"/>
    <w:basedOn w:val="Normal"/>
    <w:link w:val="IEEEParagraphChar"/>
    <w:rsid w:val="00E1377A"/>
    <w:pPr>
      <w:autoSpaceDE/>
      <w:autoSpaceDN/>
      <w:spacing w:after="0"/>
      <w:ind w:firstLine="216"/>
    </w:pPr>
    <w:rPr>
      <w:sz w:val="20"/>
      <w:szCs w:val="24"/>
      <w:lang w:val="en-AU" w:eastAsia="zh-CN"/>
    </w:rPr>
  </w:style>
  <w:style w:type="character" w:customStyle="1" w:styleId="IEEEParagraphChar">
    <w:name w:val="IEEE Paragraph Char"/>
    <w:basedOn w:val="DefaultParagraphFont"/>
    <w:link w:val="IEEEParagraph"/>
    <w:rsid w:val="00E1377A"/>
    <w:rPr>
      <w:szCs w:val="24"/>
      <w:lang w:val="en-AU"/>
    </w:rPr>
  </w:style>
  <w:style w:type="table" w:styleId="LightList-Accent1">
    <w:name w:val="Light List Accent 1"/>
    <w:basedOn w:val="TableNormal"/>
    <w:uiPriority w:val="61"/>
    <w:rsid w:val="00E1377A"/>
    <w:rPr>
      <w:rFonts w:eastAsia="Times New Roman"/>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PlaceholderText">
    <w:name w:val="Placeholder Text"/>
    <w:basedOn w:val="DefaultParagraphFont"/>
    <w:uiPriority w:val="99"/>
    <w:semiHidden/>
    <w:rsid w:val="00E1377A"/>
    <w:rPr>
      <w:color w:val="808080"/>
    </w:rPr>
  </w:style>
  <w:style w:type="paragraph" w:styleId="ListParagraph">
    <w:name w:val="List Paragraph"/>
    <w:basedOn w:val="Normal"/>
    <w:uiPriority w:val="34"/>
    <w:qFormat/>
    <w:rsid w:val="006453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0170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93839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974430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B56B99-3579-4985-B931-6976C7B8C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701</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ESA</dc:creator>
  <cp:lastModifiedBy>Stefano Cioni</cp:lastModifiedBy>
  <cp:revision>3</cp:revision>
  <cp:lastPrinted>2007-06-18T09:08:00Z</cp:lastPrinted>
  <dcterms:created xsi:type="dcterms:W3CDTF">2018-04-06T15:25:00Z</dcterms:created>
  <dcterms:modified xsi:type="dcterms:W3CDTF">2018-04-06T15:27:00Z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(3)oSaWaTZVaaBTahKhh/aXnL72w/jfjpGy6wQGfTgjW8DikccPq+yOYJCn/j1ghitAiAE4MTyv
Q3fvez32AMmgXWyCiLCr9+Vzm7lbc/3s5yLNeiF3740XD0oy0lpjQRO5jJ7nKVUX36eajMa7
sJHCrFHlro75U3FExRz3fakk8VP4AStiZ6GWjWxAhoDza8mLELYBOgBfHCZGS/H+HN2vPfsB
SCjCon3kT3KpH4IApq</vt:lpwstr>
  </property>
  <property fmtid="{D5CDD505-2E9C-101B-9397-08002B2CF9AE}" pid="13" name="_2015_ms_pID_725343_00">
    <vt:lpwstr>_2015_ms_pID_725343</vt:lpwstr>
  </property>
  <property fmtid="{D5CDD505-2E9C-101B-9397-08002B2CF9AE}" pid="14" name="_2015_ms_pID_7253431">
    <vt:lpwstr>pwFXdDGx5cTE8H+XQ1MkAho0/TDpEyhpvAMPkr5+eClgx38BxHPCf/
Chh6IL5Rv2qPz3JYEOhTTv+7ki/Eiweu1GetbA8Fs7WhNEmpYu/huTaCnZAiV/Zb0hTDGDIL
s48uMKUk/2n09H7pjTjpF3IRYhCSVyz+P6VirOpDhCsK7j1CYtxqZtvLTrWnU/2BF1cIy9ua
k2qgV2jJoLoG6Ut2uZZeIYPlgvErFSx9InyX</vt:lpwstr>
  </property>
  <property fmtid="{D5CDD505-2E9C-101B-9397-08002B2CF9AE}" pid="15" name="_2015_ms_pID_7253431_00">
    <vt:lpwstr>_2015_ms_pID_7253431</vt:lpwstr>
  </property>
  <property fmtid="{D5CDD505-2E9C-101B-9397-08002B2CF9AE}" pid="16" name="_2015_ms_pID_7253432">
    <vt:lpwstr>E08RC1B9cW1j4fxhRBoBx7kF2v/ev3I/0mWM
jQtd4aOWwgrZ772PzwFD/Djf3hkIUw==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1518800426</vt:lpwstr>
  </property>
</Properties>
</file>